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349CB" w14:textId="559EB08D" w:rsidR="007F46DF" w:rsidRPr="00D33ACA" w:rsidRDefault="007F46DF" w:rsidP="007F46DF">
      <w:pPr>
        <w:spacing w:after="200" w:line="276" w:lineRule="auto"/>
        <w:jc w:val="center"/>
        <w:rPr>
          <w:rFonts w:ascii="Palatino Linotype" w:eastAsia="Calibri" w:hAnsi="Palatino Linotype" w:cs="Calibri"/>
          <w:b/>
          <w:sz w:val="28"/>
          <w:szCs w:val="28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ОБЪЯВЛЕНИЕ ПРОВЕДЕНИЯ ТЕНДЕРА №2</w:t>
      </w:r>
      <w:r w:rsidR="00D33ACA" w:rsidRPr="00D33ACA">
        <w:rPr>
          <w:rFonts w:ascii="Palatino Linotype" w:eastAsia="Calibri" w:hAnsi="Palatino Linotype" w:cs="Calibri"/>
          <w:b/>
          <w:sz w:val="28"/>
          <w:szCs w:val="28"/>
        </w:rPr>
        <w:t>2</w:t>
      </w:r>
    </w:p>
    <w:p w14:paraId="6382B1EF" w14:textId="48F13C96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ЗАО  БАНК «ИМОН ИНТЕРНЕШНЛ» объявляет открытый тендер </w:t>
      </w:r>
      <w:r w:rsidRPr="007F46DF">
        <w:rPr>
          <w:rFonts w:ascii="Palatino Linotype" w:eastAsia="Calibri" w:hAnsi="Palatino Linotype" w:cs="Calibri"/>
          <w:sz w:val="28"/>
          <w:szCs w:val="28"/>
        </w:rPr>
        <w:t xml:space="preserve">на предмет выбора поставщика </w:t>
      </w:r>
      <w:r w:rsidR="00D33ACA" w:rsidRPr="00D33ACA">
        <w:rPr>
          <w:rFonts w:ascii="Palatino Linotype" w:eastAsia="Calibri" w:hAnsi="Palatino Linotype" w:cs="Calibri"/>
          <w:sz w:val="28"/>
          <w:szCs w:val="28"/>
        </w:rPr>
        <w:t>счетно-сортировочных машинок BPS C1, BPS C2-2, BPS C2-3, BPS C2-4, счетно-</w:t>
      </w:r>
      <w:proofErr w:type="spellStart"/>
      <w:r w:rsidR="00D33ACA" w:rsidRPr="00D33ACA">
        <w:rPr>
          <w:rFonts w:ascii="Palatino Linotype" w:eastAsia="Calibri" w:hAnsi="Palatino Linotype" w:cs="Calibri"/>
          <w:sz w:val="28"/>
          <w:szCs w:val="28"/>
        </w:rPr>
        <w:t>сортировочныx</w:t>
      </w:r>
      <w:proofErr w:type="spellEnd"/>
      <w:r w:rsidR="00D33ACA" w:rsidRPr="00D33ACA">
        <w:rPr>
          <w:rFonts w:ascii="Palatino Linotype" w:eastAsia="Calibri" w:hAnsi="Palatino Linotype" w:cs="Calibri"/>
          <w:sz w:val="28"/>
          <w:szCs w:val="28"/>
        </w:rPr>
        <w:t xml:space="preserve"> машинок </w:t>
      </w:r>
      <w:proofErr w:type="spellStart"/>
      <w:r w:rsidR="00D33ACA" w:rsidRPr="00D33ACA">
        <w:rPr>
          <w:rFonts w:ascii="Palatino Linotype" w:eastAsia="Calibri" w:hAnsi="Palatino Linotype" w:cs="Calibri"/>
          <w:sz w:val="28"/>
          <w:szCs w:val="28"/>
        </w:rPr>
        <w:t>Docash</w:t>
      </w:r>
      <w:proofErr w:type="spellEnd"/>
      <w:r w:rsidR="00D33ACA" w:rsidRPr="00D33ACA">
        <w:rPr>
          <w:rFonts w:ascii="Palatino Linotype" w:eastAsia="Calibri" w:hAnsi="Palatino Linotype" w:cs="Calibri"/>
          <w:sz w:val="28"/>
          <w:szCs w:val="28"/>
        </w:rPr>
        <w:t xml:space="preserve"> DC-55V, ленточных </w:t>
      </w:r>
      <w:proofErr w:type="spellStart"/>
      <w:r w:rsidR="00D33ACA" w:rsidRPr="00D33ACA">
        <w:rPr>
          <w:rFonts w:ascii="Palatino Linotype" w:eastAsia="Calibri" w:hAnsi="Palatino Linotype" w:cs="Calibri"/>
          <w:sz w:val="28"/>
          <w:szCs w:val="28"/>
        </w:rPr>
        <w:t>обандерователей</w:t>
      </w:r>
      <w:proofErr w:type="spellEnd"/>
      <w:r w:rsidR="00D33ACA" w:rsidRPr="00D33ACA">
        <w:rPr>
          <w:rFonts w:ascii="Palatino Linotype" w:eastAsia="Calibri" w:hAnsi="Palatino Linotype" w:cs="Calibri"/>
          <w:sz w:val="28"/>
          <w:szCs w:val="28"/>
        </w:rPr>
        <w:t xml:space="preserve"> и выносн</w:t>
      </w:r>
      <w:r w:rsidR="00D33ACA">
        <w:rPr>
          <w:rFonts w:ascii="Palatino Linotype" w:eastAsia="Calibri" w:hAnsi="Palatino Linotype" w:cs="Calibri"/>
          <w:sz w:val="28"/>
          <w:szCs w:val="28"/>
        </w:rPr>
        <w:t>ых</w:t>
      </w:r>
      <w:r w:rsidR="00D33ACA" w:rsidRPr="00D33ACA">
        <w:rPr>
          <w:rFonts w:ascii="Palatino Linotype" w:eastAsia="Calibri" w:hAnsi="Palatino Linotype" w:cs="Calibri"/>
          <w:sz w:val="28"/>
          <w:szCs w:val="28"/>
        </w:rPr>
        <w:t xml:space="preserve"> табло</w:t>
      </w:r>
      <w:r w:rsidRPr="007F46DF">
        <w:rPr>
          <w:rFonts w:ascii="Palatino Linotype" w:eastAsia="Calibri" w:hAnsi="Palatino Linotype" w:cs="Calibri"/>
          <w:sz w:val="28"/>
          <w:szCs w:val="28"/>
        </w:rPr>
        <w:t xml:space="preserve"> </w:t>
      </w:r>
    </w:p>
    <w:p w14:paraId="732E0069" w14:textId="77777777" w:rsidR="00D33ACA" w:rsidRDefault="007F46DF" w:rsidP="00D33ACA">
      <w:pPr>
        <w:spacing w:after="200" w:line="276" w:lineRule="auto"/>
        <w:ind w:firstLine="708"/>
        <w:jc w:val="both"/>
        <w:rPr>
          <w:rFonts w:ascii="Palatino Linotype" w:eastAsia="Calibri" w:hAnsi="Palatino Linotype" w:cs="Times New Roman"/>
          <w:b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Times New Roman"/>
          <w:b/>
          <w:sz w:val="28"/>
          <w:szCs w:val="28"/>
          <w:lang w:val="tg-Cyrl-TJ"/>
        </w:rPr>
        <w:t xml:space="preserve">Требование к поставщикам </w:t>
      </w:r>
      <w:r w:rsidR="00D33ACA" w:rsidRPr="00D33ACA">
        <w:rPr>
          <w:rFonts w:ascii="Palatino Linotype" w:eastAsia="Calibri" w:hAnsi="Palatino Linotype" w:cs="Times New Roman"/>
          <w:b/>
          <w:sz w:val="28"/>
          <w:szCs w:val="28"/>
          <w:lang w:val="tg-Cyrl-TJ"/>
        </w:rPr>
        <w:t xml:space="preserve">счетно-сортировочных машинок BPS C1, BPS C2-2, BPS C2-3, BPS C2-4, счетно-сортировочныx машинок Docash DC-55V, ленточных обандерователей и выносных табло </w:t>
      </w:r>
    </w:p>
    <w:p w14:paraId="47512662" w14:textId="77777777" w:rsidR="00D33ACA" w:rsidRPr="00D33ACA" w:rsidRDefault="00D33ACA" w:rsidP="00D33ACA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Допуск аналогов (эквивалентов)</w:t>
      </w:r>
    </w:p>
    <w:p w14:paraId="0F3A60BC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Участник тендера вправе предложить как указанные модели счётно-сортировальных машин, так и их аналоги (эквиваленты) других производителей.</w:t>
      </w:r>
    </w:p>
    <w:p w14:paraId="4D9DCBB0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Аналогом признаётся новое оборудование того же класса и назначения, технические и функциональные характеристики которого не ниже указанных в настоящем техническом задании по каждому параметру (количество карманов, скорость обработки, ёмкость бункера и карманов, поддерживаемые валюты, методы проверки подлинности, сортировка по ветхости, чтение серийных номеров, интерфейсы, гарантийный срок).</w:t>
      </w:r>
    </w:p>
    <w:p w14:paraId="399BEC0A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При предложении аналога участник прилагает к конкурсному предложению сравнительную таблицу «требование ТЗ — характеристика предлагаемой модели» с указанием производителя, модели и страны происхождения, а также технический паспорт или каталог производителя.</w:t>
      </w:r>
    </w:p>
    <w:p w14:paraId="2DBB11F4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Аналог должен иметь подтверждение производителя о поддержке банкнот сомони (TJS) всех находящихся в обращении серий и иностранных валют, с которыми работает банк, и соответствовать требованиям Национального банка Таджикистана к оборудованию для обработки и проверки подлинности денежных знаков.</w:t>
      </w:r>
    </w:p>
    <w:p w14:paraId="7CAC7AB4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На аналог распространяются все требования раздела «Требования к поставщику оборудования»: авторизация производителя, сервис и склад запасных частей в РТ, обновление ПО при изменении банкнот, гарантия и обучение.</w:t>
      </w:r>
    </w:p>
    <w:p w14:paraId="7FEC4D03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Обязанность доказать эквивалентность предлагаемого оборудования лежит на участнике. Предложения, в которых эквивалентность не подтверждена документально или характеристики ниже требуемых, отклоняются.</w:t>
      </w:r>
    </w:p>
    <w:p w14:paraId="27537596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Для подтверждения заявленных характеристик аналога банк вправе запросить образец для тестирования (п. 10.5).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5"/>
        <w:gridCol w:w="1478"/>
        <w:gridCol w:w="1835"/>
        <w:gridCol w:w="1473"/>
        <w:gridCol w:w="1504"/>
        <w:gridCol w:w="1850"/>
      </w:tblGrid>
      <w:tr w:rsidR="00D33ACA" w:rsidRPr="00D33ACA" w14:paraId="54AC0761" w14:textId="77777777" w:rsidTr="00D8760E">
        <w:trPr>
          <w:cantSplit/>
          <w:tblHeader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D2BAF5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Параметр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A5B1D12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 xml:space="preserve">Счётчик-сортировщик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DoCash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 xml:space="preserve"> DC-55V или аналог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77341A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Сортировщик BPS C1 (C2-1) или аналог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C1686F6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Сортировщик 2-х карманный BPS C2-2 или аналог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446A14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Сортировщик 3-х карманный BPS C2-3 или аналог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A64B85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Сортировщик 4-х карманный BPS C2-4 или аналог</w:t>
            </w:r>
          </w:p>
        </w:tc>
      </w:tr>
      <w:tr w:rsidR="00D33ACA" w:rsidRPr="00D33ACA" w14:paraId="3F712275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A3FAD0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D9F0F4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7AF8E74" wp14:editId="54F8DBDF">
                  <wp:extent cx="714375" cy="8667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2FD8FFE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A17CAC8" wp14:editId="2DCB5384">
                  <wp:extent cx="790575" cy="8858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89C476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C4FC844" wp14:editId="4BC2C653">
                  <wp:extent cx="704850" cy="9810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442BDC1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0A3F2E1B" wp14:editId="34D86E04">
                  <wp:extent cx="762000" cy="1276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F767B9E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E016FBC" wp14:editId="482868CC">
                  <wp:extent cx="1085850" cy="9525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ACA" w:rsidRPr="00D33ACA" w14:paraId="7FECF713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43B5F9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lastRenderedPageBreak/>
              <w:t>Назначение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A8F8A3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Окна касс филиалов и ЦБО (приём и выдача наличных клиентам); резерв склада ГО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573D56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Касса пересчёта филиала (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Дангара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): пересчёт, проверка и сортировка подкреплений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D8E7F4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ХАБ «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Саридора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» и касса филиала (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Истаравшан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): обработка с отделением годных банкнот от ветхих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C476211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Касса филиала (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Бохтар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): обработка крупного объёма наличности с сортировкой в 3 кармана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8A0BA1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ХАБ / касса пересчёта (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Саридора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,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Хучанд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, Сомони): массовая обработка, подготовка к сдаче в НБТ</w:t>
            </w:r>
          </w:p>
        </w:tc>
      </w:tr>
      <w:tr w:rsidR="00D33ACA" w:rsidRPr="00D33ACA" w14:paraId="5213EA02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CFA111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62EB1B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Настольный счётчик-сортировщик, новый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E25429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Настольная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банкнотообрабатывающая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система, новая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C36B5B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Настольная сортировальная машина среднего класса, новая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1FA6052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Настольная сортировальная машина среднего класса, новая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D4DF099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Настольная сортировальная машина среднего класса, новая</w:t>
            </w:r>
          </w:p>
        </w:tc>
      </w:tr>
      <w:tr w:rsidR="00D33ACA" w:rsidRPr="00D33ACA" w14:paraId="44F7E42E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105330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Карманы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84823F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2: приёмный + карман отбраковки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855C6A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2: 1 выходной (сортировочный) + 1 отбраковки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C372AD2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3: 2 выходных + 1 отбраковки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728BBC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4: 3 выходных + 1 отбраковки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4679624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5: 4 выходных + 1 отбраковки</w:t>
            </w:r>
          </w:p>
        </w:tc>
      </w:tr>
      <w:tr w:rsidR="00D33ACA" w:rsidRPr="00D33ACA" w14:paraId="3A7B9448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4F99159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Скорость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49FEF7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1 500 банкнот/мин в режиме счёта; не менее 800 банкнот/мин с полной проверкой подлинности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C7187B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1 300 банкнот/мин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02FCDA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1 050 банкнот/мин (до 1 200 при динамическом разделении) — в режиме проверки, сортировки и чтения номеров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CAB0CB0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1 050 банкнот/мин (до 1 200 при динамическом разделении)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9129F71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1 050 банкнот/мин в режимах сортировки по ветхости и сверки номеров</w:t>
            </w:r>
          </w:p>
        </w:tc>
      </w:tr>
      <w:tr w:rsidR="00D33ACA" w:rsidRPr="00D33ACA" w14:paraId="01601464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1F46D04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Бункер / приёмный карман / отбраковка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070AA6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500 / 200 банкнот; отдельный карман отбраковки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E302DC3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500 / не менее 200 банкнот (по КП)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58792A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900 / до 250 / до 100 банкнот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2D2CAD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900 / до 250 в каждом кармане / до 100 банкнот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A17E2AE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900–1 000 / до 250 в каждом кармане / до 100 банкнот</w:t>
            </w:r>
          </w:p>
        </w:tc>
      </w:tr>
      <w:tr w:rsidR="00D33ACA" w:rsidRPr="00D33ACA" w14:paraId="7DA07226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FAF87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Валюты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01A2F7F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мультивалютный режим (до 25 валют)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79CC04E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до 10 валют, смешанная обработка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8A2769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до 10 валют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16BC68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до 10 валют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146A122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до 10 валют</w:t>
            </w:r>
          </w:p>
        </w:tc>
      </w:tr>
      <w:tr w:rsidR="00D33ACA" w:rsidRPr="00D33ACA" w14:paraId="1507BB6B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48075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Проверка подлинности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94F5E10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УФ, ИК, MG, CIS (2 датчика), размер, плотность, целостность, сдвоенность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4D87F80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CIS, ИК, УФ, MG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0A03CBA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CIS, ИК, УФ, MG; датчики производителя класса банковских сортировщиков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E465C45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CIS, ИК, УФ, MG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4EC5D2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CIS, ИК, УФ, MG</w:t>
            </w:r>
          </w:p>
        </w:tc>
      </w:tr>
      <w:tr w:rsidR="00D33ACA" w:rsidRPr="00D33ACA" w14:paraId="7C519D58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4ADBF3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Сортировка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D04BB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 номиналу, лицевой стороне, ориентации; пересчёт смешанной пачки с выводом суммы по номиналам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4FB67C7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 номиналу, серии (году), ориентации; смешанная пачка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C92239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 номиналу, ветхости, ориентации, году (серии); смешанная пачка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E32B1E1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же, с раскладкой в 3 кармана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9DF0862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же, с раскладкой в 4 кармана</w:t>
            </w:r>
          </w:p>
        </w:tc>
      </w:tr>
      <w:tr w:rsidR="00D33ACA" w:rsidRPr="00D33ACA" w14:paraId="1582F26B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0E420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Ветхость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074F78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Контроль целостности (дыры, надрывы, скотч)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809B64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Опционально: до 3 классов (годные для банкоматов, годные, ветхие) — включить для ХАБ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D61B46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Сортировка по ветхости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3E1455D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Сортировка по ветхости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2EE139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Сортировка по ветхости</w:t>
            </w:r>
          </w:p>
        </w:tc>
      </w:tr>
      <w:tr w:rsidR="00D33ACA" w:rsidRPr="00D33ACA" w14:paraId="59884142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9ABAE0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Серийные номера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A001291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Чтение и сравнение со списком; выгрузка на ПК / USB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D533CB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Чтение на полной скорости; выгрузка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30DAE6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Чтение на полной скорости; сверка со списком; выгрузка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4A6F77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4A2EDC3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же; передача в систему обработки наличности</w:t>
            </w:r>
          </w:p>
        </w:tc>
      </w:tr>
      <w:tr w:rsidR="00D33ACA" w:rsidRPr="00D33ACA" w14:paraId="5E38FE88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3C5EA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Программное обеспечение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6076F01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Обновляемое через USB / ПК; добавление новых банкнот через официальные каналы производителя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3A4065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Удалённое обновление и диагностика (BPS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Connect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)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3C54407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Обновление через LAN / USB; удалённая диагностика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CF7226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E5AD8B8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же; сетевая интеграция в систему обработки наличности</w:t>
            </w:r>
          </w:p>
        </w:tc>
      </w:tr>
      <w:tr w:rsidR="00D33ACA" w:rsidRPr="00D33ACA" w14:paraId="2D194B70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8992A1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Дисплей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7CB018D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LCD; выносной дисплей покупателя в комплекте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780F9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Встроенный дисплей оператора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4EBA8F3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Цветной сенсорный 7"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BD399C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Сенсорный 10"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957EC84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Сенсорный 12"</w:t>
            </w:r>
          </w:p>
        </w:tc>
      </w:tr>
      <w:tr w:rsidR="00D33ACA" w:rsidRPr="00D33ACA" w14:paraId="7378E5C4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E6FC61A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Интерфейсы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10FB90C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USB; подключение к ПК и выносному дисплею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3AE6E3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LAN, USB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5B87105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1 × LAN, 4 × USB host, 1 × USB device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FD4D5DC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1 × LAN, 4 × USB host, 1 × USB device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31D3B4D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LAN, USB</w:t>
            </w:r>
          </w:p>
        </w:tc>
      </w:tr>
      <w:tr w:rsidR="00D33ACA" w:rsidRPr="00D33ACA" w14:paraId="284E4F67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0138685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Питание / условия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81C489A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220 В, 50 Гц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19FCD6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100–240 В, 50/60 Гц; +15…+35 °C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056A6A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100–240 В, 50/60 Гц; +15…+35 °C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D02F83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100–240 В, 50/60 Гц; +15…+35 °C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BB879D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100–240 В, 50/60 Гц; +15…+35 °C</w:t>
            </w:r>
          </w:p>
        </w:tc>
      </w:tr>
      <w:tr w:rsidR="00D33ACA" w:rsidRPr="00D33ACA" w14:paraId="40647814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F48F330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Габариты / вес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A6714D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≈ 281 × 276 × 265 мм; 9,2 кг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85549EC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Компактная настольная (по КП)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01D05B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51 × 33 × 39 см; ≈ 27 кг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A302EE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62 × 33 × 43 см; ≈ 32 кг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B4566E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 КП</w:t>
            </w:r>
          </w:p>
        </w:tc>
      </w:tr>
      <w:tr w:rsidR="00D33ACA" w:rsidRPr="00D33ACA" w14:paraId="6AA4A2AC" w14:textId="77777777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95F60F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Гарантия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B18E64A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12 мес.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5475B94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18 мес., подтверждение производителя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912D89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18 мес., подтверждение производителя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8CA268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18 мес., подтверждение производителя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3F4E1D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18 мес., подтверждение производителя</w:t>
            </w:r>
          </w:p>
        </w:tc>
      </w:tr>
    </w:tbl>
    <w:p w14:paraId="49018F4E" w14:textId="77777777" w:rsidR="00D33ACA" w:rsidRPr="00D33ACA" w:rsidRDefault="00D33ACA" w:rsidP="00D33AC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BE36F9D" w14:textId="77777777" w:rsidR="00D33ACA" w:rsidRPr="00D33ACA" w:rsidRDefault="00D33ACA" w:rsidP="00D33ACA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lastRenderedPageBreak/>
        <w:t xml:space="preserve">Технические требования к ленточному </w:t>
      </w:r>
      <w:proofErr w:type="spellStart"/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обандеролевателю</w:t>
      </w:r>
      <w:proofErr w:type="spellEnd"/>
    </w:p>
    <w:p w14:paraId="3F3DB06E" w14:textId="77777777" w:rsidR="00D33ACA" w:rsidRPr="00D33ACA" w:rsidRDefault="00D33ACA" w:rsidP="00D33A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1492A5B" wp14:editId="7EEAD380">
            <wp:extent cx="1333500" cy="10191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8"/>
        <w:gridCol w:w="6147"/>
      </w:tblGrid>
      <w:tr w:rsidR="00D33ACA" w:rsidRPr="00D33ACA" w14:paraId="70D255A5" w14:textId="77777777" w:rsidTr="00D8760E">
        <w:trPr>
          <w:cantSplit/>
          <w:tblHeader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CA62FFF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E8C20C7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Требование</w:t>
            </w:r>
          </w:p>
        </w:tc>
      </w:tr>
      <w:tr w:rsidR="00D33ACA" w:rsidRPr="00D33ACA" w14:paraId="50A7F1E3" w14:textId="77777777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02C9599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Скорость упаковки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973F5C2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20–24 обвязки/мин (минимальный цикл — 2 сек)</w:t>
            </w:r>
          </w:p>
        </w:tc>
      </w:tr>
      <w:tr w:rsidR="00D33ACA" w:rsidRPr="00D33ACA" w14:paraId="49CE428D" w14:textId="77777777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5F76635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Режимы работы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18E9C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Автоматический / ручной</w:t>
            </w:r>
          </w:p>
        </w:tc>
      </w:tr>
      <w:tr w:rsidR="00D33ACA" w:rsidRPr="00D33ACA" w14:paraId="2811CE94" w14:textId="77777777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8DBF65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Панель управления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9861648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Сенсорная</w:t>
            </w:r>
          </w:p>
        </w:tc>
      </w:tr>
      <w:tr w:rsidR="00D33ACA" w:rsidRPr="00D33ACA" w14:paraId="652CDA02" w14:textId="77777777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E2ED882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Дисплей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634DDC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Светодиодный, 4-разрядный</w:t>
            </w:r>
          </w:p>
        </w:tc>
      </w:tr>
      <w:tr w:rsidR="00D33ACA" w:rsidRPr="00D33ACA" w14:paraId="56F395C1" w14:textId="77777777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B459EB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Гарантийный срок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5EA420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1,5 года (приоритет — 2 года)</w:t>
            </w:r>
          </w:p>
        </w:tc>
      </w:tr>
    </w:tbl>
    <w:p w14:paraId="59C4E215" w14:textId="77777777" w:rsidR="00D33ACA" w:rsidRPr="00D33ACA" w:rsidRDefault="00D33ACA" w:rsidP="00D33ACA">
      <w:pPr>
        <w:keepNext/>
        <w:spacing w:before="24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Технические требования к выносному табло (дисплею клиента) для счётно-сортировальных машин </w:t>
      </w:r>
      <w:proofErr w:type="spellStart"/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DoCash</w:t>
      </w:r>
      <w:proofErr w:type="spellEnd"/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DC-45V / DC-55V или их аналогов</w:t>
      </w:r>
    </w:p>
    <w:p w14:paraId="712218B7" w14:textId="77777777" w:rsidR="00D33ACA" w:rsidRPr="00D33ACA" w:rsidRDefault="00D33ACA" w:rsidP="00D33ACA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Выносное табло предназначено для отображения клиенту результатов пересчёта наличных денежных средств в режиме реального времени при совершении кассовых операций в окнах касс филиалов и ЦБО. Участник вправе предложить оригинальное табло производителя </w:t>
      </w:r>
      <w:proofErr w:type="spellStart"/>
      <w:r w:rsidRPr="00D33ACA">
        <w:rPr>
          <w:rFonts w:ascii="Times New Roman" w:eastAsia="Times New Roman" w:hAnsi="Times New Roman" w:cs="Times New Roman"/>
          <w:sz w:val="20"/>
          <w:szCs w:val="20"/>
          <w:lang w:eastAsia="ru-RU"/>
        </w:rPr>
        <w:t>DoCash</w:t>
      </w:r>
      <w:proofErr w:type="spellEnd"/>
      <w:r w:rsidRPr="00D33A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аналог (эквивалент) другого производителя. Поставляемое табло должно соответствовать требованиям, указанным ниже. Значения параметров являются минимально допустимыми; предложения с характеристиками ниже указанных отклоняются.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0"/>
        <w:gridCol w:w="6605"/>
      </w:tblGrid>
      <w:tr w:rsidR="00D33ACA" w:rsidRPr="00D33ACA" w14:paraId="2CAA58EB" w14:textId="77777777" w:rsidTr="00D8760E">
        <w:trPr>
          <w:cantSplit/>
          <w:tblHeader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B238F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030012F" w14:textId="77777777" w:rsidR="00D33ACA" w:rsidRPr="00D33ACA" w:rsidRDefault="00D33ACA" w:rsidP="00D3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Минимальное требование</w:t>
            </w:r>
          </w:p>
        </w:tc>
      </w:tr>
      <w:tr w:rsidR="00D33ACA" w:rsidRPr="00D33ACA" w14:paraId="18330C09" w14:textId="77777777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21F7FB" w14:textId="77777777" w:rsidR="00D33ACA" w:rsidRPr="00D33ACA" w:rsidRDefault="00D33ACA" w:rsidP="00D33A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 Совместимость</w:t>
            </w:r>
          </w:p>
        </w:tc>
      </w:tr>
      <w:tr w:rsidR="00D33ACA" w:rsidRPr="00D33ACA" w14:paraId="49110F10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961836B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Совместимые модели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CFB8B05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Счётно-сортировальные машины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DoCash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DC-45V и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DoCash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DC-55V (все исполнения, включая модели с двумя CIS-сенсорами), эксплуатируемые в банке. При поставке аналога счётно-сортировальной машины табло должно быть штатным (рекомендованным производителем) для предложенной модели</w:t>
            </w:r>
          </w:p>
        </w:tc>
      </w:tr>
      <w:tr w:rsidR="00D33ACA" w:rsidRPr="00D33ACA" w14:paraId="2B15DCEE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BC742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Подтверждение совместимости и эквивалентности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97FEC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Официальное письмо производителя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DoCash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его авторизованного дистрибьютора о совместимости предлагаемого табло с моделями DC-45V и DC-55V — обязательно в составе конкурсного предложения. При предложении аналога табло дополнительно прилагаются: технический паспорт (каталог) производителя, сравнительная таблица «требование ТЗ — характеристика предлагаемого табло» и образец для проверки на машинах банка</w:t>
            </w:r>
          </w:p>
        </w:tc>
      </w:tr>
      <w:tr w:rsidR="00D33ACA" w:rsidRPr="00D33ACA" w14:paraId="576EDCE2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0C958A0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изделия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59B48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Оригинальное выносное табло (дисплей клиента) производителя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DoCash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либо аналог (эквивалент) другого производителя с характеристиками не ниже указанных в настоящем разделе</w:t>
            </w:r>
          </w:p>
        </w:tc>
      </w:tr>
      <w:tr w:rsidR="00D33ACA" w:rsidRPr="00D33ACA" w14:paraId="71822B20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31CA07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Влияние на машину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45EC2D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Подключение без доработки аппаратной части и без изменения/замены ПО машины; сохранение гарантии производителя на машину</w:t>
            </w:r>
          </w:p>
        </w:tc>
      </w:tr>
      <w:tr w:rsidR="00D33ACA" w:rsidRPr="00D33ACA" w14:paraId="73B87129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9BD4DFB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Поддерживаемые режимы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E656AA0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Корректное отображение во всех режимах работы машины: пересчёт (COUNT), сложение (ADD), формирование партий (BATCH), пересчёт смешанной пачки по номиналам (MIX/VALUE), мультивалютный режим, сортировка</w:t>
            </w:r>
          </w:p>
        </w:tc>
      </w:tr>
      <w:tr w:rsidR="00D33ACA" w:rsidRPr="00D33ACA" w14:paraId="1D288D32" w14:textId="77777777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DA2776" w14:textId="77777777" w:rsidR="00D33ACA" w:rsidRPr="00D33ACA" w:rsidRDefault="00D33ACA" w:rsidP="00D33A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 Индикация и дисплей</w:t>
            </w:r>
          </w:p>
        </w:tc>
      </w:tr>
      <w:tr w:rsidR="00D33ACA" w:rsidRPr="00D33ACA" w14:paraId="2F541DEA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BD7AE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дисплея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20AB2F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ЖК (LCD) с подсветкой либо VFD/LED; контрастное изображение, без мерцания</w:t>
            </w:r>
          </w:p>
        </w:tc>
      </w:tr>
      <w:tr w:rsidR="00D33ACA" w:rsidRPr="00D33ACA" w14:paraId="6CBBA94F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0C6CF4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строк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CBCA96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 строк</w:t>
            </w:r>
          </w:p>
        </w:tc>
      </w:tr>
      <w:tr w:rsidR="00D33ACA" w:rsidRPr="00D33ACA" w14:paraId="62FDCF57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65B3441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Высота символов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F0ABDC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12 мм</w:t>
            </w:r>
          </w:p>
        </w:tc>
      </w:tr>
      <w:tr w:rsidR="00D33ACA" w:rsidRPr="00D33ACA" w14:paraId="7F008CF9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E083431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Разрядность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C711B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— не менее 9 разрядов; количество листов — не менее 4 разрядов</w:t>
            </w:r>
          </w:p>
        </w:tc>
      </w:tr>
      <w:tr w:rsidR="00D33ACA" w:rsidRPr="00D33ACA" w14:paraId="35691646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32D1C5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Отображаемая информация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A47D5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пересчитанных банкнот; общая сумма; номинал; код валюты (TJS, USD, EUR, RUB, CNY); текущий режим работы</w:t>
            </w:r>
          </w:p>
        </w:tc>
      </w:tr>
      <w:tr w:rsidR="00D33ACA" w:rsidRPr="00D33ACA" w14:paraId="2E64473A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B88409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Индикация ошибок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522AD6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Сообщение клиенту об остановке пересчёта: подозрительная (сомнительная) банкнота, банкнота другого номинала или валюты, сдвоенная/сцепленная банкнота, повреждённая банкнота</w:t>
            </w:r>
          </w:p>
        </w:tc>
      </w:tr>
      <w:tr w:rsidR="00D33ACA" w:rsidRPr="00D33ACA" w14:paraId="64D76FB4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0D55FC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Синхронизация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A87D31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Отображение данных синхронно с дисплеем оператора, задержка — не более 0,5 сек</w:t>
            </w:r>
          </w:p>
        </w:tc>
      </w:tr>
      <w:tr w:rsidR="00D33ACA" w:rsidRPr="00D33ACA" w14:paraId="028FDC9F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E5415B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Читаемость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090849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Уверенное считывание клиентом с расстояния не менее 1,5 м при штатном освещении кассового помещения; угол обзора — не менее 120° по горизонтали</w:t>
            </w:r>
          </w:p>
        </w:tc>
      </w:tr>
      <w:tr w:rsidR="00D33ACA" w:rsidRPr="00D33ACA" w14:paraId="2A8ECAA7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40F7C3A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Конфиденциальность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1DAD51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табло не выводится служебная информация: серийные номера банкнот, настройки и сервисное меню машины, данные оператора</w:t>
            </w:r>
          </w:p>
        </w:tc>
      </w:tr>
      <w:tr w:rsidR="00D33ACA" w:rsidRPr="00D33ACA" w14:paraId="2044DF37" w14:textId="77777777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301346C" w14:textId="77777777" w:rsidR="00D33ACA" w:rsidRPr="00D33ACA" w:rsidRDefault="00D33ACA" w:rsidP="00D33A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 Интерфейс и соединительный кабель</w:t>
            </w:r>
          </w:p>
        </w:tc>
      </w:tr>
      <w:tr w:rsidR="00D33ACA" w:rsidRPr="00D33ACA" w14:paraId="393FBF76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33FB81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подключения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44320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Непосредственно к штатному порту внешнего дисплея машины DC-45V / DC-55V по принципу «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Plug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&amp;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Play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без ПК и без установки драйверов</w:t>
            </w:r>
          </w:p>
        </w:tc>
      </w:tr>
      <w:tr w:rsidR="00D33ACA" w:rsidRPr="00D33ACA" w14:paraId="300DC287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A0DCF2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разъёма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4909E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Соответствует штатному разъёму внешнего дисплея машины (тип разъёма и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распиновка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указываются участником в конкурсном предложении)</w:t>
            </w:r>
          </w:p>
        </w:tc>
      </w:tr>
      <w:tr w:rsidR="00D33ACA" w:rsidRPr="00D33ACA" w14:paraId="2BC39B01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AEC8631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Длина кабеля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EE4D4C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1,5 м; по заявке банка — до 3 м без потери сигнала</w:t>
            </w:r>
          </w:p>
        </w:tc>
      </w:tr>
      <w:tr w:rsidR="00D33ACA" w:rsidRPr="00D33ACA" w14:paraId="22D64CFA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1E3E92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кабеля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532C4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Экранированный, в гибкой оболочке, с механической фиксацией разъёма от случайного отсоединения</w:t>
            </w:r>
          </w:p>
        </w:tc>
      </w:tr>
      <w:tr w:rsidR="00D33ACA" w:rsidRPr="00D33ACA" w14:paraId="3E3F72EA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53DA9B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Совместная работа портов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F6203C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Подключение табло не должно блокировать использование портов USB / RS-232 машины для подключения к ПК и выгрузки данных (серийные номера, журналы операций)</w:t>
            </w:r>
          </w:p>
        </w:tc>
      </w:tr>
      <w:tr w:rsidR="00D33ACA" w:rsidRPr="00D33ACA" w14:paraId="12732D03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286209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Надёжность соединения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F45C3B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Подключение и отключение табло не приводят к сбою пересчёта, сбросу настроек и потере данных в памяти машины</w:t>
            </w:r>
          </w:p>
        </w:tc>
      </w:tr>
      <w:tr w:rsidR="00D33ACA" w:rsidRPr="00D33ACA" w14:paraId="7C98F3CC" w14:textId="77777777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7928F86" w14:textId="77777777" w:rsidR="00D33ACA" w:rsidRPr="00D33ACA" w:rsidRDefault="00D33ACA" w:rsidP="00D33A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 Конструкция и крепление</w:t>
            </w:r>
          </w:p>
        </w:tc>
      </w:tr>
      <w:tr w:rsidR="00D33ACA" w:rsidRPr="00D33ACA" w14:paraId="76BABC69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CDDD70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EB4BCC5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Ударопрочный пластик или металл; без острых кромок; цвет — чёрный или тёмно-серый</w:t>
            </w:r>
          </w:p>
        </w:tc>
      </w:tr>
      <w:tr w:rsidR="00D33ACA" w:rsidRPr="00D33ACA" w14:paraId="6DAEA662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4DB093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FE8E88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Настольная подставка с нескользящим основанием; возможность крепления к кассовой стойке, перегородке или стеклу кассы (кронштейн или монтажные отверстия)</w:t>
            </w:r>
          </w:p>
        </w:tc>
      </w:tr>
      <w:tr w:rsidR="00D33ACA" w:rsidRPr="00D33ACA" w14:paraId="1A801598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031F988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Регулировка положения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3EC10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 экрана — не менее ±90°, наклон — не менее 30° для ориентации табло на клиента</w:t>
            </w:r>
          </w:p>
        </w:tc>
      </w:tr>
      <w:tr w:rsidR="00D33ACA" w:rsidRPr="00D33ACA" w14:paraId="3D14D191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EC918FF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Габариты и масса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3D0D1F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200 × 120 × 150 мм (Д × Ш × В); масса — не более 0,5 кг</w:t>
            </w:r>
          </w:p>
        </w:tc>
      </w:tr>
      <w:tr w:rsidR="00D33ACA" w:rsidRPr="00D33ACA" w14:paraId="047BE82A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B88EC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Маркировка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4A3FBC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производителя, модель и серийный номер на корпусе</w:t>
            </w:r>
          </w:p>
        </w:tc>
      </w:tr>
      <w:tr w:rsidR="00D33ACA" w:rsidRPr="00D33ACA" w14:paraId="5CC70FC6" w14:textId="77777777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0865712" w14:textId="77777777" w:rsidR="00D33ACA" w:rsidRPr="00D33ACA" w:rsidRDefault="00D33ACA" w:rsidP="00D33A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 Электропитание и безопасность</w:t>
            </w:r>
          </w:p>
        </w:tc>
      </w:tr>
      <w:tr w:rsidR="00D33ACA" w:rsidRPr="00D33ACA" w14:paraId="2EE118A0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B50EA5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питания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FFC97A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счётно-сортировальной машины через соединительный кабель, без отдельного сетевого адаптера</w:t>
            </w:r>
          </w:p>
        </w:tc>
      </w:tr>
      <w:tr w:rsidR="00D33ACA" w:rsidRPr="00D33ACA" w14:paraId="5A214010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7A7AA9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Внешнее питание (если предусмотрено конструкцией)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1C0524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Сеть 220 В ±10 %, 50 Гц; сетевой адаптер в комплекте, с вилкой стандарта, применяемого в Республике Таджикистан</w:t>
            </w:r>
          </w:p>
        </w:tc>
      </w:tr>
      <w:tr w:rsidR="00D33ACA" w:rsidRPr="00D33ACA" w14:paraId="6E348D48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A3909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Потребляемая мощность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EE9E1D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3 Вт</w:t>
            </w:r>
          </w:p>
        </w:tc>
      </w:tr>
      <w:tr w:rsidR="00D33ACA" w:rsidRPr="00D33ACA" w14:paraId="43469748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1CFFAF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089D89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от короткого замыкания и перенапряжения; неисправность табло не должна приводить к выходу из строя машины</w:t>
            </w:r>
          </w:p>
        </w:tc>
      </w:tr>
      <w:tr w:rsidR="00D33ACA" w:rsidRPr="00D33ACA" w14:paraId="3EEA9DEA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26861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стандартам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EF3ED7D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электробезопасности и электромагнитной совместимости; сертификат или декларация соответствия</w:t>
            </w:r>
          </w:p>
        </w:tc>
      </w:tr>
      <w:tr w:rsidR="00D33ACA" w:rsidRPr="00D33ACA" w14:paraId="588670F5" w14:textId="77777777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B8FB1D" w14:textId="77777777" w:rsidR="00D33ACA" w:rsidRPr="00D33ACA" w:rsidRDefault="00D33ACA" w:rsidP="00D33A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6. Условия эксплуатации</w:t>
            </w:r>
          </w:p>
        </w:tc>
      </w:tr>
      <w:tr w:rsidR="00D33ACA" w:rsidRPr="00D33ACA" w14:paraId="7D014CA6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8A856A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 эксплуатации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10EA82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+5 до +40 °C</w:t>
            </w:r>
          </w:p>
        </w:tc>
      </w:tr>
      <w:tr w:rsidR="00D33ACA" w:rsidRPr="00D33ACA" w14:paraId="17CF8A9F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E66AD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Относительная влажность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39CF77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80 % без конденсации</w:t>
            </w:r>
          </w:p>
        </w:tc>
      </w:tr>
      <w:tr w:rsidR="00D33ACA" w:rsidRPr="00D33ACA" w14:paraId="71E3DACD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005B42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Режим работы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DE07F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Непрерывная работа не менее 10 часов в сутки</w:t>
            </w:r>
          </w:p>
        </w:tc>
      </w:tr>
      <w:tr w:rsidR="00D33ACA" w:rsidRPr="00D33ACA" w14:paraId="29B05690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D4DEF65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Ресурс дисплея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E5D886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30 000 часов</w:t>
            </w:r>
          </w:p>
        </w:tc>
      </w:tr>
      <w:tr w:rsidR="00D33ACA" w:rsidRPr="00D33ACA" w14:paraId="73D76901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CF58988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Хранение и транспортировка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A219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−10 до +50 °C в заводской упаковке</w:t>
            </w:r>
          </w:p>
        </w:tc>
      </w:tr>
      <w:tr w:rsidR="00D33ACA" w:rsidRPr="00D33ACA" w14:paraId="3744DF36" w14:textId="77777777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9E452AF" w14:textId="77777777" w:rsidR="00D33ACA" w:rsidRPr="00D33ACA" w:rsidRDefault="00D33ACA" w:rsidP="00D33A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7. Комплектность поставки</w:t>
            </w:r>
          </w:p>
        </w:tc>
      </w:tr>
      <w:tr w:rsidR="00D33ACA" w:rsidRPr="00D33ACA" w14:paraId="67074F70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833FA13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 комплекта (на 1 единицу)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0D947A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выносное табло — 1 шт.;</w:t>
            </w:r>
          </w:p>
          <w:p w14:paraId="7D05E389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соединительный кабель для DC-45V / DC-55V — 1 шт.;</w:t>
            </w:r>
          </w:p>
          <w:p w14:paraId="65F6E91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— подставка и (или) кронштейн с крепёжным комплектом — 1 </w:t>
            </w:r>
            <w:proofErr w:type="spellStart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.;</w:t>
            </w:r>
          </w:p>
          <w:p w14:paraId="4C590DF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сетевой адаптер (если требуется конструкцией) — 1 шт.;</w:t>
            </w:r>
          </w:p>
          <w:p w14:paraId="0F79AB2E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руководство по эксплуатации на русском языке (по возможности — на таджикском) — 1 экз.;</w:t>
            </w:r>
          </w:p>
          <w:p w14:paraId="49A8AD25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гарантийный талон с указанием серийного номера — 1 экз.</w:t>
            </w:r>
          </w:p>
        </w:tc>
      </w:tr>
      <w:tr w:rsidR="00D33ACA" w:rsidRPr="00D33ACA" w14:paraId="2A957171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7F6437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Документы к поставке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34545F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Сертификат или декларация соответствия; письмо производителя (дистрибьютора) о совместимости с DC-45V / DC-55V</w:t>
            </w:r>
          </w:p>
        </w:tc>
      </w:tr>
      <w:tr w:rsidR="00D33ACA" w:rsidRPr="00D33ACA" w14:paraId="731A80A5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2DC6FB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37573C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Заводская, обеспечивающая сохранность при транспортировке до филиалов банка</w:t>
            </w:r>
          </w:p>
        </w:tc>
      </w:tr>
      <w:tr w:rsidR="00D33ACA" w:rsidRPr="00D33ACA" w14:paraId="24E81A5B" w14:textId="77777777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AC630DA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Гарантийный срок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04CFF3B" w14:textId="77777777" w:rsidR="00D33ACA" w:rsidRPr="00D33ACA" w:rsidRDefault="00D33ACA" w:rsidP="00D33A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A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12 месяцев с даты подписания акта приёма-передачи</w:t>
            </w:r>
          </w:p>
        </w:tc>
      </w:tr>
    </w:tbl>
    <w:p w14:paraId="7747D712" w14:textId="77777777" w:rsidR="00D33ACA" w:rsidRPr="00D33ACA" w:rsidRDefault="00D33ACA" w:rsidP="00D33ACA">
      <w:pPr>
        <w:spacing w:before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 xml:space="preserve">Примечание: участник тендера в конкурсном предложении указывает производителя и модель табло, тип разъёма подключения, длину кабеля, способ электропитания, срок поставки и цену за единицу в сомони с учётом НДС. При </w:t>
      </w:r>
      <w:r w:rsidRPr="00D33ACA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lastRenderedPageBreak/>
        <w:t>приёмке табло (в том числе аналог) проверяется на машинах DC-45V и DC-55V банка, а при поставке аналога машины — на поставляемой модели, в режимах пересчёта, смешанной пачки и мультивалютном режиме с выводом суммы, номинала, валюты и сообщений об ошибках.</w:t>
      </w:r>
    </w:p>
    <w:p w14:paraId="1A12B6BE" w14:textId="77777777" w:rsidR="00D33ACA" w:rsidRPr="00D33ACA" w:rsidRDefault="00D33ACA" w:rsidP="00D33ACA">
      <w:pPr>
        <w:keepNext/>
        <w:spacing w:before="240" w:after="12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поставщику оборудования</w:t>
      </w:r>
    </w:p>
    <w:p w14:paraId="5AF94B66" w14:textId="77777777" w:rsidR="00D33ACA" w:rsidRPr="00D33ACA" w:rsidRDefault="00D33ACA" w:rsidP="00D33ACA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10.1. Квалификация поставщика</w:t>
      </w:r>
    </w:p>
    <w:p w14:paraId="28CE609F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Официальное письмо производителя о дилерстве (авторизации) поставщика на территории Республики Таджикистан.</w:t>
      </w:r>
    </w:p>
    <w:p w14:paraId="105D8211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Подтверждение официальной поставки оборудования в Республику Таджикистан (копия грузовой таможенной декларации, сертификат происхождения).</w:t>
      </w:r>
    </w:p>
    <w:p w14:paraId="6E537288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Наличие технического персонала, сервисных офисов и склада запасных частей на территории РТ (как минимум в г. Душанбе и г. Худжанд).</w:t>
      </w:r>
    </w:p>
    <w:p w14:paraId="125DB9A1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Опыт поставки и обслуживания аналогичного оборудования в банках РТ — не менее 2 референций (отзывы, договоры).</w:t>
      </w:r>
    </w:p>
    <w:p w14:paraId="30A71075" w14:textId="77777777" w:rsidR="00D33ACA" w:rsidRPr="00D33ACA" w:rsidRDefault="00D33ACA" w:rsidP="00D33ACA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10.2. Оборудование, цена и поставка</w:t>
      </w:r>
    </w:p>
    <w:p w14:paraId="142F3079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Оборудование новое, не восстановленное, не бывшее в эксплуатации, года выпуска не ранее 2025.</w:t>
      </w:r>
    </w:p>
    <w:p w14:paraId="71634EDF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Цена за единицу в сомони, фиксированная на весь срок договора, с учётом НДС, таможенных платежей, установки и пусконаладки; скидка в зависимости от объёма поставки (менее/более 10 единиц) со шкалой ценообразования в конкурсном предложении.</w:t>
      </w:r>
    </w:p>
    <w:p w14:paraId="09D5B4B4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Полная комплектность: кабели, выносной дисплей покупателя для DC-55V (или штатный дисплей покупателя для предложенного аналога), инструкция по эксплуатации на русском (по возможности — на таджикском) языке, комплект расходных материалов.</w:t>
      </w:r>
    </w:p>
    <w:p w14:paraId="6682223F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Соответствие оборудования требованиям Национального банка Таджикистана к оборудованию для обработки и проверки подлинности денежных знаков.</w:t>
      </w:r>
    </w:p>
    <w:p w14:paraId="2968C852" w14:textId="77777777" w:rsidR="00D33ACA" w:rsidRPr="00D33ACA" w:rsidRDefault="00D33ACA" w:rsidP="00D33ACA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10.3. Программное обеспечение и обновление при изменении банкнот</w:t>
      </w:r>
    </w:p>
    <w:p w14:paraId="33D9A7D0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Сертифицированное программное обеспечение производителя, действующее на территории Республики Таджикистан, с базой всех находящихся в обращении банкнот сомони и иностранных валют, с которыми работает банк (USD, EUR, RUB, CNY</w:t>
      </w:r>
      <w:r w:rsidRPr="00D33ACA">
        <w:rPr>
          <w:rFonts w:ascii="Times New Roman" w:eastAsia="Times New Roman" w:hAnsi="Times New Roman" w:cs="Times New Roman"/>
          <w:lang w:val="tg-Cyrl-TJ" w:eastAsia="ru-RU"/>
        </w:rPr>
        <w:t>узб</w:t>
      </w:r>
      <w:r w:rsidRPr="00D33ACA">
        <w:rPr>
          <w:rFonts w:ascii="Times New Roman" w:eastAsia="Times New Roman" w:hAnsi="Times New Roman" w:cs="Times New Roman"/>
          <w:lang w:eastAsia="ru-RU"/>
        </w:rPr>
        <w:t>).</w:t>
      </w:r>
    </w:p>
    <w:p w14:paraId="4007AEFA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lang w:eastAsia="ru-RU"/>
        </w:rPr>
        <w:t>Обязательное обновление ПО при выпуске новых банкнот или модификаций</w:t>
      </w:r>
      <w:r w:rsidRPr="00D33ACA">
        <w:rPr>
          <w:rFonts w:ascii="Times New Roman" w:eastAsia="Times New Roman" w:hAnsi="Times New Roman" w:cs="Times New Roman"/>
          <w:lang w:eastAsia="ru-RU"/>
        </w:rPr>
        <w:t>: при вводе Национальным банком Таджикистана в обращение новых банкнот или изменении защитных признаков действующих, а также при изменении банкнот иностранных валют поставщик обновляет ПО на всех поставленных машинах в течение 10 рабочих дней с даты ввода в обращение (при наличии образцов заранее — до даты ввода в обращение).</w:t>
      </w:r>
    </w:p>
    <w:p w14:paraId="01D0938D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В течение гарантийного срока обновления при изменении банкнот выполняются бесплатно; после гарантийного срока — по сервисному договору по стоимости, зафиксированной в конкурсном предложении.</w:t>
      </w:r>
    </w:p>
    <w:p w14:paraId="39B93CD3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 xml:space="preserve">Обновление выполняется удалённо (по сети) или на месте силами сервисной службы во всех филиалах; поставщик предоставляет акт об обновлении с указанием версии ПО </w:t>
      </w:r>
      <w:proofErr w:type="spellStart"/>
      <w:r w:rsidRPr="00D33ACA">
        <w:rPr>
          <w:rFonts w:ascii="Times New Roman" w:eastAsia="Times New Roman" w:hAnsi="Times New Roman" w:cs="Times New Roman"/>
          <w:lang w:eastAsia="ru-RU"/>
        </w:rPr>
        <w:t>по</w:t>
      </w:r>
      <w:proofErr w:type="spellEnd"/>
      <w:r w:rsidRPr="00D33ACA">
        <w:rPr>
          <w:rFonts w:ascii="Times New Roman" w:eastAsia="Times New Roman" w:hAnsi="Times New Roman" w:cs="Times New Roman"/>
          <w:lang w:eastAsia="ru-RU"/>
        </w:rPr>
        <w:t xml:space="preserve"> каждой машине.</w:t>
      </w:r>
    </w:p>
    <w:p w14:paraId="125F31C4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Обновления только из официальных источников производителя; поставщик уведомляет банк о выходе новых версий ПО и об устранённых уязвимостях.</w:t>
      </w:r>
    </w:p>
    <w:p w14:paraId="6904DEC7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Выгрузка серийных номеров и журналов операций в формате, пригодном для загрузки в учётные системы банка; защита настроек машины паролем.</w:t>
      </w:r>
    </w:p>
    <w:p w14:paraId="7AE3696E" w14:textId="77777777" w:rsidR="00D33ACA" w:rsidRPr="00D33ACA" w:rsidRDefault="00D33ACA" w:rsidP="00D33ACA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10.4. Гарантия и сервисное обслуживание</w:t>
      </w:r>
    </w:p>
    <w:p w14:paraId="0150ABCF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Гарантия производителя не менее 18 месяцев с даты поставки (для DC-55V — не менее 12 месяцев), с подтверждением производителя.</w:t>
      </w:r>
    </w:p>
    <w:p w14:paraId="0EDBC7A5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Техническое сопровождение по всей территории РТ, онлайн-приём заявок на ремонт и учёт профилактических работ.</w:t>
      </w:r>
    </w:p>
    <w:p w14:paraId="2086B533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lastRenderedPageBreak/>
        <w:t>Сроки реакции на заявку: г. Душанбе и г. Худжанд — не более 24 часов, другие регионы — не более 72 часов; срок ремонта — не более 5 рабочих дней, при превышении — предоставление подменной машины.</w:t>
      </w:r>
    </w:p>
    <w:p w14:paraId="6AE2239A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Плановое профилактическое обслуживание не реже 1 раза в 6 месяцев в гарантийный период.</w:t>
      </w:r>
    </w:p>
    <w:p w14:paraId="007CCABD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Наличие запасных частей и возможность постгарантийного обслуживания не менее 5 лет с даты поставки; стоимость постгарантийного обслуживания указывается в конкурсном предложении.</w:t>
      </w:r>
    </w:p>
    <w:p w14:paraId="4E7A733A" w14:textId="77777777" w:rsidR="00D33ACA" w:rsidRPr="00D33ACA" w:rsidRDefault="00D33ACA" w:rsidP="00D33ACA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10.5. Обучение и приёмка</w:t>
      </w:r>
    </w:p>
    <w:p w14:paraId="4AA3453F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Обучение кассиров и ответственных сотрудников в течение 10–15 рабочих дней после поставки с выдачей методических материалов.</w:t>
      </w:r>
    </w:p>
    <w:p w14:paraId="74A46AA2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При предложении аналогов — предоставление образца для тестирования на срок не менее 14</w:t>
      </w:r>
      <w:r w:rsidRPr="00D33ACA">
        <w:rPr>
          <w:rFonts w:ascii="Times New Roman" w:eastAsia="Times New Roman" w:hAnsi="Times New Roman" w:cs="Times New Roman"/>
          <w:lang w:val="tg-Cyrl-TJ" w:eastAsia="ru-RU"/>
        </w:rPr>
        <w:t xml:space="preserve"> дней</w:t>
      </w:r>
      <w:r w:rsidRPr="00D33ACA">
        <w:rPr>
          <w:rFonts w:ascii="Times New Roman" w:eastAsia="Times New Roman" w:hAnsi="Times New Roman" w:cs="Times New Roman"/>
          <w:lang w:eastAsia="ru-RU"/>
        </w:rPr>
        <w:t>.</w:t>
      </w:r>
    </w:p>
    <w:p w14:paraId="629BC681" w14:textId="77777777" w:rsidR="00D33ACA" w:rsidRPr="00D33ACA" w:rsidRDefault="00D33ACA" w:rsidP="00D33ACA">
      <w:pPr>
        <w:numPr>
          <w:ilvl w:val="0"/>
          <w:numId w:val="7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3ACA">
        <w:rPr>
          <w:rFonts w:ascii="Times New Roman" w:eastAsia="Times New Roman" w:hAnsi="Times New Roman" w:cs="Times New Roman"/>
          <w:lang w:eastAsia="ru-RU"/>
        </w:rPr>
        <w:t>Приёмка с тестированием на контрольных пачках банка (в т.ч. ветхие банкноты и образцы сомнительных банкнот) и проверкой чтения серийных номеров.</w:t>
      </w:r>
    </w:p>
    <w:p w14:paraId="0D1B343C" w14:textId="77777777" w:rsidR="00D33ACA" w:rsidRPr="00D33ACA" w:rsidRDefault="00D33ACA" w:rsidP="00D33ACA">
      <w:pPr>
        <w:spacing w:after="0" w:line="276" w:lineRule="auto"/>
        <w:ind w:firstLine="708"/>
        <w:jc w:val="both"/>
        <w:rPr>
          <w:rFonts w:ascii="Palatino Linotype" w:eastAsia="Calibri" w:hAnsi="Palatino Linotype" w:cs="Times New Roman"/>
          <w:sz w:val="28"/>
          <w:szCs w:val="28"/>
        </w:rPr>
      </w:pPr>
    </w:p>
    <w:p w14:paraId="5D5BADDF" w14:textId="77777777" w:rsidR="00572F94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Предмет тендера:</w:t>
      </w: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Выбор поставщика </w:t>
      </w:r>
      <w:r w:rsidR="00572F94" w:rsidRPr="00572F94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счетно-сортировочных машинок BPS C1, BPS C2-2, BPS C2-3, BPS C2-4, счетно-сортировочныx машинок Docash DC-55V, ленточных обандерователей и выносных табло </w:t>
      </w:r>
    </w:p>
    <w:p w14:paraId="71D9B9C4" w14:textId="05DF2A05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bookmarkStart w:id="0" w:name="_GoBack"/>
      <w:bookmarkEnd w:id="0"/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Вид тендера:</w:t>
      </w: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открытый тендер</w:t>
      </w:r>
    </w:p>
    <w:p w14:paraId="48B89441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 xml:space="preserve">Место проведения тендера: </w:t>
      </w: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Республика Таджикистан, город Худжанд, 17 микрорайон, дом 2 </w:t>
      </w:r>
    </w:p>
    <w:p w14:paraId="6C1C6BC9" w14:textId="2C51FD78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>Заявки и пакет тендерных предложений будут приниматься до 2</w:t>
      </w:r>
      <w:r w:rsidR="00D33ACA">
        <w:rPr>
          <w:rFonts w:ascii="Palatino Linotype" w:eastAsia="Calibri" w:hAnsi="Palatino Linotype" w:cs="Calibri"/>
          <w:sz w:val="28"/>
          <w:szCs w:val="28"/>
          <w:lang w:val="tg-Cyrl-TJ"/>
        </w:rPr>
        <w:t>7</w:t>
      </w: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.10.2026 года, 17:00 </w:t>
      </w:r>
    </w:p>
    <w:p w14:paraId="195FE69F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>Список требуемых документов, которые должны быть предоставлены в запечатанном конверте с подписью:</w:t>
      </w:r>
    </w:p>
    <w:p w14:paraId="0F1F2B1F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«Тендерная заявка» (Приложение Т-8)  </w:t>
      </w:r>
    </w:p>
    <w:p w14:paraId="39C5F112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«Таблица цен» (Приложение Т-9)</w:t>
      </w:r>
    </w:p>
    <w:p w14:paraId="79BE0AD7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«Сведения об участнике тендера» (Приложение Т-10)</w:t>
      </w:r>
    </w:p>
    <w:p w14:paraId="0AB2C901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Перечень кредитных и иных Организаций, с которыми контрагент заключал тендерные договора (Приложение Т-11)</w:t>
      </w:r>
    </w:p>
    <w:p w14:paraId="07D5D840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Справка о финансовом состоянии за последний год (если деятельность осуществляется в течение меньшего срока - за весь период деятельности) (или заполнит</w:t>
      </w:r>
      <w:r w:rsidRPr="007F46DF">
        <w:rPr>
          <w:rFonts w:ascii="Palatino Linotype" w:eastAsia="Times New Roman" w:hAnsi="Palatino Linotype" w:cs="Calibri"/>
          <w:sz w:val="28"/>
          <w:szCs w:val="28"/>
          <w:lang w:eastAsia="ru-RU"/>
        </w:rPr>
        <w:t xml:space="preserve">ь </w:t>
      </w: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Приложение Т-1</w:t>
      </w:r>
      <w:r w:rsidRPr="007F46DF">
        <w:rPr>
          <w:rFonts w:ascii="Palatino Linotype" w:eastAsia="Times New Roman" w:hAnsi="Palatino Linotype" w:cs="Calibri"/>
          <w:sz w:val="28"/>
          <w:szCs w:val="28"/>
          <w:lang w:eastAsia="ru-RU"/>
        </w:rPr>
        <w:t>2</w:t>
      </w: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)</w:t>
      </w:r>
    </w:p>
    <w:p w14:paraId="31D5BB29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Копия свидетельство о государственной регистрации </w:t>
      </w: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lastRenderedPageBreak/>
        <w:t xml:space="preserve">юридического лица, либо индивидуального предпринимателя; </w:t>
      </w:r>
    </w:p>
    <w:p w14:paraId="6F79D84D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Выписка из единого государственного реестра, </w:t>
      </w:r>
    </w:p>
    <w:p w14:paraId="306BFBF5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Доверенность на уполномоченное лицо (в случае если договор не подписывается руководителем юридического лица)</w:t>
      </w:r>
    </w:p>
    <w:p w14:paraId="39ADB4C1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Копия паспорта физического лица (при подписании договора с индивидуальным предпринимателем)</w:t>
      </w:r>
    </w:p>
    <w:p w14:paraId="57FC2648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Копия свидетельства о присвоении ИНН</w:t>
      </w:r>
    </w:p>
    <w:p w14:paraId="7F556DA5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Разрешительные документы (лицензия, сертификат и иные документы)</w:t>
      </w:r>
    </w:p>
    <w:p w14:paraId="0B5C5CD0" w14:textId="77777777" w:rsidR="007F46DF" w:rsidRPr="007F46DF" w:rsidRDefault="007F46DF" w:rsidP="007F46DF">
      <w:pPr>
        <w:spacing w:after="0" w:line="276" w:lineRule="auto"/>
        <w:ind w:firstLine="708"/>
        <w:jc w:val="center"/>
        <w:rPr>
          <w:rFonts w:ascii="Palatino Linotype" w:eastAsia="Calibri" w:hAnsi="Palatino Linotype" w:cs="Calibri"/>
          <w:b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Дополнительные требования к пакету документов</w:t>
      </w:r>
    </w:p>
    <w:p w14:paraId="7161536D" w14:textId="1D9676D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>Все документы должны быть предоставлены в запечатанном и подписанном конверте не позднее 2</w:t>
      </w:r>
      <w:r w:rsidR="00D33ACA">
        <w:rPr>
          <w:rFonts w:ascii="Palatino Linotype" w:eastAsia="Calibri" w:hAnsi="Palatino Linotype" w:cs="Calibri"/>
          <w:sz w:val="28"/>
          <w:szCs w:val="28"/>
          <w:lang w:val="tg-Cyrl-TJ"/>
        </w:rPr>
        <w:t>7</w:t>
      </w: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.10.2026 года, 17:00 по адресу: Республика Таджикистан, город Худжанд, 17 микрорайон, дом 2. </w:t>
      </w:r>
    </w:p>
    <w:p w14:paraId="3DCA81D2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Документы представленные позднее даты предоставления, без вскрытия конверта возвращаются претенденту, а участник к Тендеру не допускается. </w:t>
      </w:r>
    </w:p>
    <w:p w14:paraId="1CE32DA2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Документы, подаваемые на Тендер претендентами – резидентами РТ, составляются на государственном языке Республики Таджикистан. </w:t>
      </w:r>
    </w:p>
    <w:p w14:paraId="525A593F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>Важно!</w:t>
      </w:r>
    </w:p>
    <w:p w14:paraId="6F1EA4F8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>Нерезиденты Республики Таджикистан могут отправить тендерные заявки по электронной почте.</w:t>
      </w:r>
    </w:p>
    <w:p w14:paraId="05ABAB31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Нерезиденты Республики Таджикистан могут предоставить все документы в электронном формате зашифрованным паролем и предоставить пароль от файлов по запросу Организации в день вскрытия тендерных пакетов. </w:t>
      </w:r>
    </w:p>
    <w:p w14:paraId="25D33C43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Контактные данные: </w:t>
      </w:r>
    </w:p>
    <w:p w14:paraId="33BB986D" w14:textId="77777777" w:rsidR="007F46DF" w:rsidRPr="007F46DF" w:rsidRDefault="007F46DF" w:rsidP="007F46DF">
      <w:pPr>
        <w:spacing w:after="0" w:line="276" w:lineRule="auto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Электронная почта: </w:t>
      </w:r>
      <w:r w:rsidR="00572F94">
        <w:fldChar w:fldCharType="begin"/>
      </w:r>
      <w:r w:rsidR="00572F94">
        <w:instrText xml:space="preserve"> HYPERLINK "mailto:tender@imon.tj" </w:instrText>
      </w:r>
      <w:r w:rsidR="00572F94">
        <w:fldChar w:fldCharType="separate"/>
      </w:r>
      <w:r w:rsidRPr="007F46DF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tender</w:t>
      </w:r>
      <w:r w:rsidRPr="007F46DF">
        <w:rPr>
          <w:rFonts w:ascii="Palatino Linotype" w:eastAsia="Calibri" w:hAnsi="Palatino Linotype" w:cs="Times New Roman"/>
          <w:color w:val="0000FF"/>
          <w:sz w:val="28"/>
          <w:szCs w:val="28"/>
          <w:u w:val="single"/>
        </w:rPr>
        <w:t>@</w:t>
      </w:r>
      <w:proofErr w:type="spellStart"/>
      <w:r w:rsidRPr="007F46DF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imon</w:t>
      </w:r>
      <w:proofErr w:type="spellEnd"/>
      <w:r w:rsidRPr="007F46DF">
        <w:rPr>
          <w:rFonts w:ascii="Palatino Linotype" w:eastAsia="Calibri" w:hAnsi="Palatino Linotype" w:cs="Times New Roman"/>
          <w:color w:val="0000FF"/>
          <w:sz w:val="28"/>
          <w:szCs w:val="28"/>
          <w:u w:val="single"/>
        </w:rPr>
        <w:t>.</w:t>
      </w:r>
      <w:proofErr w:type="spellStart"/>
      <w:r w:rsidRPr="007F46DF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tj</w:t>
      </w:r>
      <w:proofErr w:type="spellEnd"/>
      <w:r w:rsidR="00572F94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fldChar w:fldCharType="end"/>
      </w:r>
    </w:p>
    <w:p w14:paraId="25938296" w14:textId="77777777" w:rsidR="00496D1D" w:rsidRPr="007F46DF" w:rsidRDefault="00496D1D"/>
    <w:sectPr w:rsidR="00496D1D" w:rsidRPr="007F4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E74EB"/>
    <w:multiLevelType w:val="multilevel"/>
    <w:tmpl w:val="6C58EA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576665"/>
    <w:multiLevelType w:val="multilevel"/>
    <w:tmpl w:val="23A4C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591B0E"/>
    <w:multiLevelType w:val="hybridMultilevel"/>
    <w:tmpl w:val="438499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42F2D"/>
    <w:multiLevelType w:val="hybridMultilevel"/>
    <w:tmpl w:val="15801B34"/>
    <w:lvl w:ilvl="0" w:tplc="DAFA5AB6">
      <w:start w:val="1"/>
      <w:numFmt w:val="bullet"/>
      <w:lvlText w:val="–"/>
      <w:lvlJc w:val="left"/>
      <w:pPr>
        <w:ind w:left="567" w:hanging="283"/>
      </w:pPr>
    </w:lvl>
    <w:lvl w:ilvl="1" w:tplc="6DCA6DA0">
      <w:numFmt w:val="decimal"/>
      <w:lvlText w:val=""/>
      <w:lvlJc w:val="left"/>
    </w:lvl>
    <w:lvl w:ilvl="2" w:tplc="FDAA2E94">
      <w:numFmt w:val="decimal"/>
      <w:lvlText w:val=""/>
      <w:lvlJc w:val="left"/>
    </w:lvl>
    <w:lvl w:ilvl="3" w:tplc="48FE912A">
      <w:numFmt w:val="decimal"/>
      <w:lvlText w:val=""/>
      <w:lvlJc w:val="left"/>
    </w:lvl>
    <w:lvl w:ilvl="4" w:tplc="5E6AA24E">
      <w:numFmt w:val="decimal"/>
      <w:lvlText w:val=""/>
      <w:lvlJc w:val="left"/>
    </w:lvl>
    <w:lvl w:ilvl="5" w:tplc="3544EF6A">
      <w:numFmt w:val="decimal"/>
      <w:lvlText w:val=""/>
      <w:lvlJc w:val="left"/>
    </w:lvl>
    <w:lvl w:ilvl="6" w:tplc="35DEE956">
      <w:numFmt w:val="decimal"/>
      <w:lvlText w:val=""/>
      <w:lvlJc w:val="left"/>
    </w:lvl>
    <w:lvl w:ilvl="7" w:tplc="1E66B35A">
      <w:numFmt w:val="decimal"/>
      <w:lvlText w:val=""/>
      <w:lvlJc w:val="left"/>
    </w:lvl>
    <w:lvl w:ilvl="8" w:tplc="0F70A76C">
      <w:numFmt w:val="decimal"/>
      <w:lvlText w:val=""/>
      <w:lvlJc w:val="left"/>
    </w:lvl>
  </w:abstractNum>
  <w:abstractNum w:abstractNumId="4" w15:restartNumberingAfterBreak="0">
    <w:nsid w:val="67E05960"/>
    <w:multiLevelType w:val="hybridMultilevel"/>
    <w:tmpl w:val="C22A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065DC"/>
    <w:multiLevelType w:val="multilevel"/>
    <w:tmpl w:val="BAAA8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42B579A"/>
    <w:multiLevelType w:val="multilevel"/>
    <w:tmpl w:val="F154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AA5"/>
    <w:rsid w:val="00051AA5"/>
    <w:rsid w:val="00137A13"/>
    <w:rsid w:val="00345C88"/>
    <w:rsid w:val="00361AEE"/>
    <w:rsid w:val="003B04AF"/>
    <w:rsid w:val="00450D3E"/>
    <w:rsid w:val="00496D1D"/>
    <w:rsid w:val="00572F94"/>
    <w:rsid w:val="005A686C"/>
    <w:rsid w:val="006F4E3C"/>
    <w:rsid w:val="007F46DF"/>
    <w:rsid w:val="00857ED0"/>
    <w:rsid w:val="00901489"/>
    <w:rsid w:val="009C3FE0"/>
    <w:rsid w:val="00A00B05"/>
    <w:rsid w:val="00BD20C2"/>
    <w:rsid w:val="00BF000A"/>
    <w:rsid w:val="00CD15B4"/>
    <w:rsid w:val="00D329A2"/>
    <w:rsid w:val="00D33ACA"/>
    <w:rsid w:val="00DA0476"/>
    <w:rsid w:val="00E841ED"/>
    <w:rsid w:val="00F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B12B"/>
  <w15:chartTrackingRefBased/>
  <w15:docId w15:val="{1BC6701E-617D-4D1E-8BF7-119D5F54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2799</Words>
  <Characters>15958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Khursheda Kurbonova</dc:creator>
  <cp:keywords/>
  <dc:description/>
  <cp:lastModifiedBy>Khursheda Kurbonova</cp:lastModifiedBy>
  <cp:revision>20</cp:revision>
  <dcterms:created xsi:type="dcterms:W3CDTF">2026-03-03T08:10:00Z</dcterms:created>
  <dcterms:modified xsi:type="dcterms:W3CDTF">2026-10-07T02:36:00Z</dcterms:modified>
</cp:coreProperties>
</file>